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C2" w:rsidRDefault="00792EA7" w:rsidP="00C16FC2">
      <w:pPr>
        <w:pStyle w:val="1"/>
        <w:jc w:val="center"/>
        <w:rPr>
          <w:rFonts w:ascii="Times New Roman" w:hAnsi="Times New Roman"/>
          <w:color w:val="4F81BD"/>
          <w:sz w:val="28"/>
          <w:szCs w:val="28"/>
        </w:rPr>
      </w:pPr>
      <w:r w:rsidRPr="004447BF">
        <w:rPr>
          <w:rFonts w:ascii="Times New Roman" w:hAnsi="Times New Roman"/>
          <w:color w:val="4F81BD"/>
          <w:sz w:val="28"/>
          <w:szCs w:val="28"/>
        </w:rPr>
        <w:t>Дополнительная профессиональная программа повышения квалификации</w:t>
      </w:r>
      <w:r w:rsidR="003A0EF2" w:rsidRPr="004447BF">
        <w:rPr>
          <w:rFonts w:ascii="Times New Roman" w:hAnsi="Times New Roman"/>
          <w:color w:val="4F81BD"/>
          <w:sz w:val="28"/>
          <w:szCs w:val="28"/>
        </w:rPr>
        <w:t>(</w:t>
      </w:r>
      <w:r w:rsidRPr="004447BF">
        <w:rPr>
          <w:rFonts w:ascii="Times New Roman" w:hAnsi="Times New Roman"/>
          <w:color w:val="4F81BD"/>
          <w:sz w:val="28"/>
          <w:szCs w:val="28"/>
        </w:rPr>
        <w:t>40 часов</w:t>
      </w:r>
      <w:r w:rsidR="003A0EF2" w:rsidRPr="004447BF">
        <w:rPr>
          <w:rFonts w:ascii="Times New Roman" w:hAnsi="Times New Roman"/>
          <w:color w:val="4F81BD"/>
          <w:sz w:val="28"/>
          <w:szCs w:val="28"/>
        </w:rPr>
        <w:t>)</w:t>
      </w:r>
    </w:p>
    <w:p w:rsidR="001977A2" w:rsidRDefault="00792EA7" w:rsidP="00C16FC2">
      <w:pPr>
        <w:pStyle w:val="1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447BF">
        <w:rPr>
          <w:rFonts w:ascii="Times New Roman" w:hAnsi="Times New Roman"/>
          <w:color w:val="FF0000"/>
          <w:sz w:val="28"/>
          <w:szCs w:val="28"/>
        </w:rPr>
        <w:t>«</w:t>
      </w:r>
      <w:r w:rsidR="00037F5C" w:rsidRPr="00037F5C">
        <w:rPr>
          <w:color w:val="FF0000"/>
        </w:rPr>
        <w:t>Изменения в учете и отчетности учреждений за 2022 год. Сложные вопросы годовой отчетности</w:t>
      </w:r>
      <w:r w:rsidR="001977A2" w:rsidRPr="00F92304">
        <w:rPr>
          <w:rFonts w:ascii="Times New Roman" w:hAnsi="Times New Roman"/>
          <w:i/>
          <w:color w:val="FF0000"/>
          <w:sz w:val="28"/>
          <w:szCs w:val="28"/>
        </w:rPr>
        <w:t>»</w:t>
      </w:r>
    </w:p>
    <w:p w:rsidR="00037F5C" w:rsidRPr="00037F5C" w:rsidRDefault="00037F5C" w:rsidP="00037F5C"/>
    <w:p w:rsidR="00037F5C" w:rsidRDefault="00E85FC6" w:rsidP="00037F5C"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0" w:name="_Toc115118870"/>
      <w:bookmarkStart w:id="1" w:name="_Toc115119380"/>
      <w:r>
        <w:rPr>
          <w:rFonts w:ascii="Times New Roman" w:hAnsi="Times New Roman"/>
          <w:sz w:val="28"/>
          <w:szCs w:val="28"/>
        </w:rPr>
        <w:t xml:space="preserve"> </w:t>
      </w:r>
      <w:r w:rsidR="00037F5C" w:rsidRPr="00037F5C">
        <w:rPr>
          <w:rFonts w:ascii="Times New Roman" w:hAnsi="Times New Roman"/>
          <w:sz w:val="28"/>
          <w:szCs w:val="28"/>
        </w:rPr>
        <w:t>Часть 1: Изменения в учете и отчетности; порядок применения федеральных стандартов в учреждениях госсектора в 2022 году</w:t>
      </w:r>
      <w:bookmarkEnd w:id="0"/>
      <w:bookmarkEnd w:id="1"/>
    </w:p>
    <w:p w:rsidR="00037F5C" w:rsidRPr="00037F5C" w:rsidRDefault="00037F5C" w:rsidP="00037F5C"/>
    <w:p w:rsidR="00037F5C" w:rsidRPr="00037F5C" w:rsidRDefault="00037F5C" w:rsidP="00037F5C">
      <w:pPr>
        <w:pStyle w:val="2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2" w:name="_Toc115118871"/>
      <w:bookmarkStart w:id="3" w:name="_Toc115119381"/>
      <w:r w:rsidRPr="00037F5C">
        <w:rPr>
          <w:rFonts w:ascii="Times New Roman" w:hAnsi="Times New Roman"/>
          <w:b/>
          <w:color w:val="auto"/>
          <w:sz w:val="28"/>
          <w:szCs w:val="28"/>
        </w:rPr>
        <w:t>Порядок применения федеральных стандартов 2022 года</w:t>
      </w:r>
      <w:bookmarkEnd w:id="2"/>
      <w:bookmarkEnd w:id="3"/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Приказ Минфина России от 29.12.2018 N 305н "Об утверждении федерального стандарта бухгалтерского учета для организаций государственного сектора "Бухгалтерская (финансовая) отчетность с учетом инфляции"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Приказ Минфина России от 29.09.2020 N 223н "Об утверждении федерального стандарта бухгалтерского учета государственных финансов "Сведения о показателях бухгалтерской (финансовой) отчетности по сегментам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Приказ Минфина России от 30.10.2020 N 255н "Об утверждении федерального стандарта бухгалтерского учета государственных финансов "Консолидированная бухгалтерская (финансовая) отчетность"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Приказ Минфина России от 30.10.2020 N 254н "Об утверждении федерального стандарта бухгалтерского учета государственных финансов "Метод долевого участия"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Приказ Минфина России от 16.12.2020 N 310н "Об утверждении федерального стандарта бухгалтерского учета государственных финансов "Биологические активы"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Приказ Минфина России от 13.10.2021 N 152н "Об утверждении федерального стандарта бухгалтерского учета государственных финансов "Подходы к формированию бухгалтерской (финансовой) отчетности сектора государственного управления и информации по статистике государственных финансов"</w:t>
      </w:r>
    </w:p>
    <w:p w:rsidR="00037F5C" w:rsidRPr="00037F5C" w:rsidRDefault="00037F5C" w:rsidP="00037F5C">
      <w:pPr>
        <w:pStyle w:val="2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4" w:name="_Toc115118872"/>
      <w:bookmarkStart w:id="5" w:name="_Toc115119382"/>
      <w:r w:rsidRPr="00037F5C">
        <w:rPr>
          <w:rFonts w:ascii="Times New Roman" w:hAnsi="Times New Roman"/>
          <w:b/>
          <w:color w:val="auto"/>
          <w:sz w:val="28"/>
          <w:szCs w:val="28"/>
        </w:rPr>
        <w:lastRenderedPageBreak/>
        <w:t>Учитываем изменения бюджетной классификации</w:t>
      </w:r>
      <w:bookmarkEnd w:id="4"/>
      <w:bookmarkEnd w:id="5"/>
      <w:r w:rsidRPr="00037F5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Обзор изменений КБК - Приказ Минфина России от 06.06.2019 № 85н в редакции Приказов от 29.07.2021 № 105н, от 21.03.2022 N 40н; порядок применения КВР 247 в 2022 году, коды 191-199 и 801-809 для безвозмездной передачи имущества; изменения на 2023 год (Приказ Минфина России </w:t>
      </w:r>
      <w:proofErr w:type="gramStart"/>
      <w:r w:rsidRPr="00037F5C">
        <w:rPr>
          <w:rFonts w:ascii="Times New Roman" w:hAnsi="Times New Roman"/>
          <w:sz w:val="28"/>
          <w:szCs w:val="28"/>
        </w:rPr>
        <w:t>от</w:t>
      </w:r>
      <w:proofErr w:type="gramEnd"/>
      <w:r w:rsidRPr="00037F5C">
        <w:rPr>
          <w:rFonts w:ascii="Times New Roman" w:hAnsi="Times New Roman"/>
          <w:sz w:val="28"/>
          <w:szCs w:val="28"/>
        </w:rPr>
        <w:t xml:space="preserve"> 24.05.2022 N 82н)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Обновление КОСГУ - Приказ Минфина России от 29.11.2017 № 209н в редакции Приказа от 24.09.2021 N 133н; порядок применения статей КОСГУ 251-256, 360; изменения на 2023 год</w:t>
      </w:r>
    </w:p>
    <w:p w:rsidR="00037F5C" w:rsidRPr="00037F5C" w:rsidRDefault="00037F5C" w:rsidP="00037F5C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_Toc115118873"/>
      <w:bookmarkStart w:id="7" w:name="_Toc115119383"/>
      <w:r w:rsidRPr="00037F5C">
        <w:rPr>
          <w:rFonts w:ascii="Times New Roman" w:hAnsi="Times New Roman"/>
          <w:color w:val="auto"/>
          <w:sz w:val="28"/>
          <w:szCs w:val="28"/>
        </w:rPr>
        <w:t>Используем новые требования к электронному документообороту</w:t>
      </w:r>
      <w:bookmarkEnd w:id="6"/>
      <w:bookmarkEnd w:id="7"/>
      <w:r w:rsidRPr="00037F5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Изменения в СГС «Концептуальные основы» в части применения простых электронных подписей и возможности использования </w:t>
      </w:r>
      <w:proofErr w:type="spellStart"/>
      <w:proofErr w:type="gramStart"/>
      <w:r w:rsidRPr="00037F5C">
        <w:rPr>
          <w:rFonts w:ascii="Times New Roman" w:hAnsi="Times New Roman"/>
          <w:sz w:val="28"/>
          <w:szCs w:val="28"/>
        </w:rPr>
        <w:t>скан-копий</w:t>
      </w:r>
      <w:proofErr w:type="spellEnd"/>
      <w:proofErr w:type="gramEnd"/>
      <w:r w:rsidRPr="00037F5C">
        <w:rPr>
          <w:rFonts w:ascii="Times New Roman" w:hAnsi="Times New Roman"/>
          <w:sz w:val="28"/>
          <w:szCs w:val="28"/>
        </w:rPr>
        <w:t xml:space="preserve"> первичных документов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Изменения в Приказ 52н в части документального оформления расчетов с подотчетными лицами, в том числе по командировкам с 2021 года </w:t>
      </w:r>
    </w:p>
    <w:p w:rsidR="00037F5C" w:rsidRPr="00037F5C" w:rsidRDefault="00037F5C" w:rsidP="00037F5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37F5C">
        <w:rPr>
          <w:rFonts w:ascii="Times New Roman" w:hAnsi="Times New Roman"/>
          <w:b/>
          <w:bCs/>
          <w:sz w:val="28"/>
          <w:szCs w:val="28"/>
        </w:rPr>
        <w:t xml:space="preserve">Новые формы электронных первичных документов согласно Приказу Минфина России от 15.04.2021 N 61н, применяемые с 2022 (2023) года </w:t>
      </w:r>
    </w:p>
    <w:p w:rsidR="00037F5C" w:rsidRDefault="00037F5C" w:rsidP="00037F5C">
      <w:pPr>
        <w:pStyle w:val="2"/>
        <w:jc w:val="both"/>
        <w:rPr>
          <w:rFonts w:ascii="Times New Roman" w:hAnsi="Times New Roman"/>
          <w:sz w:val="32"/>
          <w:szCs w:val="32"/>
        </w:rPr>
      </w:pPr>
      <w:bookmarkStart w:id="8" w:name="_Toc115118874"/>
      <w:bookmarkStart w:id="9" w:name="_Toc115119384"/>
      <w:r w:rsidRPr="00037F5C">
        <w:rPr>
          <w:rFonts w:ascii="Times New Roman" w:hAnsi="Times New Roman"/>
          <w:sz w:val="32"/>
          <w:szCs w:val="32"/>
        </w:rPr>
        <w:t>Часть 2: Подготовка и сложные вопросы отчетности</w:t>
      </w:r>
      <w:bookmarkEnd w:id="8"/>
      <w:bookmarkEnd w:id="9"/>
    </w:p>
    <w:p w:rsidR="00037F5C" w:rsidRPr="00037F5C" w:rsidRDefault="00037F5C" w:rsidP="00037F5C"/>
    <w:p w:rsidR="00037F5C" w:rsidRPr="00037F5C" w:rsidRDefault="00037F5C" w:rsidP="00037F5C">
      <w:pPr>
        <w:pStyle w:val="2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0" w:name="_Toc115118875"/>
      <w:bookmarkStart w:id="11" w:name="_Toc115119385"/>
      <w:r w:rsidRPr="00037F5C">
        <w:rPr>
          <w:rFonts w:ascii="Times New Roman" w:hAnsi="Times New Roman"/>
          <w:b/>
          <w:color w:val="auto"/>
          <w:sz w:val="28"/>
          <w:szCs w:val="28"/>
        </w:rPr>
        <w:t>Изучаем состав и общий порядок составления отчетности</w:t>
      </w:r>
      <w:bookmarkEnd w:id="10"/>
      <w:bookmarkEnd w:id="11"/>
      <w:r w:rsidRPr="00037F5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037F5C" w:rsidRPr="00037F5C" w:rsidRDefault="00037F5C" w:rsidP="00037F5C">
      <w:pPr>
        <w:pStyle w:val="2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2" w:name="_Toc115118876"/>
      <w:bookmarkStart w:id="13" w:name="_Toc115119386"/>
      <w:r w:rsidRPr="00037F5C">
        <w:rPr>
          <w:rFonts w:ascii="Times New Roman" w:hAnsi="Times New Roman"/>
          <w:b/>
          <w:color w:val="auto"/>
          <w:sz w:val="28"/>
          <w:szCs w:val="28"/>
        </w:rPr>
        <w:t xml:space="preserve">Проверяем операции </w:t>
      </w:r>
      <w:proofErr w:type="spellStart"/>
      <w:r w:rsidRPr="00037F5C">
        <w:rPr>
          <w:rFonts w:ascii="Times New Roman" w:hAnsi="Times New Roman"/>
          <w:b/>
          <w:color w:val="auto"/>
          <w:sz w:val="28"/>
          <w:szCs w:val="28"/>
        </w:rPr>
        <w:t>межотчетного</w:t>
      </w:r>
      <w:proofErr w:type="spellEnd"/>
      <w:r w:rsidRPr="00037F5C">
        <w:rPr>
          <w:rFonts w:ascii="Times New Roman" w:hAnsi="Times New Roman"/>
          <w:b/>
          <w:color w:val="auto"/>
          <w:sz w:val="28"/>
          <w:szCs w:val="28"/>
        </w:rPr>
        <w:t xml:space="preserve"> периода</w:t>
      </w:r>
      <w:bookmarkEnd w:id="12"/>
      <w:bookmarkEnd w:id="13"/>
      <w:r w:rsidRPr="00037F5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bCs/>
          <w:sz w:val="28"/>
          <w:szCs w:val="28"/>
        </w:rPr>
        <w:t>п</w:t>
      </w:r>
      <w:r w:rsidRPr="00037F5C">
        <w:rPr>
          <w:rFonts w:ascii="Times New Roman" w:hAnsi="Times New Roman"/>
          <w:sz w:val="28"/>
          <w:szCs w:val="28"/>
        </w:rPr>
        <w:t>орядок применения переходных положений к СГС «Биологические активы»: особенности отделения основных средств от биологических активов</w:t>
      </w:r>
    </w:p>
    <w:p w:rsidR="00037F5C" w:rsidRPr="00037F5C" w:rsidRDefault="00037F5C" w:rsidP="00037F5C">
      <w:pPr>
        <w:pStyle w:val="2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4" w:name="_Toc115118877"/>
      <w:bookmarkStart w:id="15" w:name="_Toc115119387"/>
      <w:r w:rsidRPr="00037F5C">
        <w:rPr>
          <w:rFonts w:ascii="Times New Roman" w:hAnsi="Times New Roman"/>
          <w:b/>
          <w:color w:val="auto"/>
          <w:sz w:val="28"/>
          <w:szCs w:val="28"/>
        </w:rPr>
        <w:t>Исправляем ошибки в учете и отчетности</w:t>
      </w:r>
      <w:bookmarkEnd w:id="14"/>
      <w:bookmarkEnd w:id="15"/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Порядок отражения операций по исправлению ошибок текущего финансового года; применение Журнала операций по исправлению ошибок прошлых лет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Порядок исправления ошибок прошлых отчетных периодов, в том числе выявленных по результатам контрольных мероприятий – с применением новых счетов 40116, 40117, 40126, 40127, 30466, 30476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Особенности составления Сведений (ф. 0503773 и ф. 0503173) при исправлении ошибок прошлых отчетных периодов</w:t>
      </w:r>
    </w:p>
    <w:p w:rsidR="00037F5C" w:rsidRPr="00037F5C" w:rsidRDefault="00037F5C" w:rsidP="00037F5C">
      <w:pPr>
        <w:pStyle w:val="2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6" w:name="_Toc115118878"/>
      <w:bookmarkStart w:id="17" w:name="_Toc115119388"/>
      <w:r w:rsidRPr="00037F5C">
        <w:rPr>
          <w:rFonts w:ascii="Times New Roman" w:hAnsi="Times New Roman"/>
          <w:b/>
          <w:color w:val="auto"/>
          <w:sz w:val="28"/>
          <w:szCs w:val="28"/>
        </w:rPr>
        <w:lastRenderedPageBreak/>
        <w:t>Проводим инвентаризацию имущества и обязательств</w:t>
      </w:r>
      <w:bookmarkEnd w:id="16"/>
      <w:bookmarkEnd w:id="17"/>
      <w:r w:rsidRPr="00037F5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Новые функции при проведении инвентаризации: оценка сроков полезного использования нематериальных активов с неопределенным сроком; формирование резерва под снижение стоимости материальных запасов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Порядок проведения и документального оформления инвентаризации в 2022 году и отражения ее результатов в учете учреждения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Принятие к учету имущества, выявленного как излишки по результатам инвентаризации: бухгалтерский учет и налоговые последствия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Особенности списания нефинансовых активов, утративших способность приносить учреждению экономические выгоды и полезный потенциал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Порядок списания имущества, выявленного как недостачи по результатам инвентаризации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Особенности составления инвентаризационных документов требований обновленного Приказа № 52н и Приказа № 61н</w:t>
      </w:r>
    </w:p>
    <w:p w:rsidR="00037F5C" w:rsidRPr="00037F5C" w:rsidRDefault="00037F5C" w:rsidP="00037F5C">
      <w:pPr>
        <w:pStyle w:val="2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8" w:name="_Toc115118879"/>
      <w:bookmarkStart w:id="19" w:name="_Toc115119389"/>
      <w:r w:rsidRPr="00037F5C">
        <w:rPr>
          <w:rFonts w:ascii="Times New Roman" w:hAnsi="Times New Roman"/>
          <w:b/>
          <w:color w:val="auto"/>
          <w:sz w:val="28"/>
          <w:szCs w:val="28"/>
        </w:rPr>
        <w:t>Выявляем виновников по недостачам и учитываем ущерб имуществу</w:t>
      </w:r>
      <w:bookmarkEnd w:id="18"/>
      <w:bookmarkEnd w:id="19"/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Определение и стоимостная оценка ущерба, причиненного учреждению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Учет расчетов по ущербу при наличии виновного лица, причинившего ущерб учреждению и при отсутствии виновных лиц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Аналитический и синтетический учет и отражение в бухгалтерском учете расчетов по ущербу имущества; особенности применения счетов 40140 «Доходы будущих периодов» при начислении ущерба имуществу</w:t>
      </w:r>
    </w:p>
    <w:p w:rsidR="00037F5C" w:rsidRPr="00037F5C" w:rsidRDefault="00037F5C" w:rsidP="00037F5C">
      <w:pPr>
        <w:pStyle w:val="2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20" w:name="_Toc115118881"/>
      <w:bookmarkStart w:id="21" w:name="_Toc115119391"/>
      <w:r w:rsidRPr="00037F5C">
        <w:rPr>
          <w:rFonts w:ascii="Times New Roman" w:hAnsi="Times New Roman"/>
          <w:b/>
          <w:color w:val="auto"/>
          <w:sz w:val="28"/>
          <w:szCs w:val="28"/>
        </w:rPr>
        <w:t>Применяем СГС «Обесценение активов» при проведении инвентаризации</w:t>
      </w:r>
      <w:bookmarkEnd w:id="20"/>
      <w:bookmarkEnd w:id="21"/>
      <w:r w:rsidRPr="00037F5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Классификация активов и понятие обесценения активов в бюджетном учете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Порядок проведения теста на обесценение активов при годовой инвентаризации и особенности его документального оформления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Признание убытка от обесценения активов, в том числе, в случае если распоряжение активом требует согласования с собственником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Поиск признаков снижения убытка от обесценения активов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Особенности обесценения финансовых активов в соответствии с требованиями СГС «Финансовые инструменты»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lastRenderedPageBreak/>
        <w:t xml:space="preserve">Отражение результатов обесценения активов в учете и отчетности учреждения </w:t>
      </w:r>
    </w:p>
    <w:p w:rsidR="00037F5C" w:rsidRPr="00037F5C" w:rsidRDefault="00037F5C" w:rsidP="00037F5C">
      <w:pPr>
        <w:pStyle w:val="2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37F5C">
        <w:rPr>
          <w:rFonts w:ascii="Times New Roman" w:hAnsi="Times New Roman"/>
          <w:b/>
          <w:color w:val="auto"/>
          <w:sz w:val="28"/>
          <w:szCs w:val="28"/>
        </w:rPr>
        <w:t>Общие вопросы составления отчетности</w:t>
      </w:r>
    </w:p>
    <w:p w:rsidR="00037F5C" w:rsidRPr="00037F5C" w:rsidRDefault="00037F5C" w:rsidP="00037F5C">
      <w:pPr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Состав бухгалтерской (бюджетной) отчетности; определение отчетного периода; общие принципы и правила составления отчетности</w:t>
      </w:r>
    </w:p>
    <w:p w:rsidR="00037F5C" w:rsidRPr="00037F5C" w:rsidRDefault="00037F5C" w:rsidP="00037F5C">
      <w:pPr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Увязки показателей отчетности: требования Казначейства России   </w:t>
      </w:r>
    </w:p>
    <w:p w:rsidR="00037F5C" w:rsidRPr="00037F5C" w:rsidRDefault="00037F5C" w:rsidP="00037F5C">
      <w:pPr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Особенности закрытия счетов; порядок формования Справки (ф.ф. 0503710, 0503110)</w:t>
      </w:r>
    </w:p>
    <w:p w:rsidR="00037F5C" w:rsidRPr="00037F5C" w:rsidRDefault="00037F5C" w:rsidP="00037F5C">
      <w:pPr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>Порядок составления отдельных форм отчетности: Справки по консолидируемым расчетам (ф.ф. 0503125, 0503725), кассовых форм: Отчета (ф.ф. 0503737, 0503127), Отчета о движении денежных средств (ф.ф. 0503123, 0503723)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Понятие краткосрочной, долгосрочной и просроченной задолженности и особенности ее определения в Сведениях (ф.ф. 0503769, 0503169) в нетипичных случаях; особенности отражения долгосрочных и краткосрочных активов и обязательств и просроченной задолженности в Балансе (ф.ф. 0503130, 0503730) </w:t>
      </w:r>
    </w:p>
    <w:p w:rsidR="00037F5C" w:rsidRPr="00037F5C" w:rsidRDefault="00037F5C" w:rsidP="00037F5C">
      <w:pPr>
        <w:jc w:val="both"/>
        <w:rPr>
          <w:rFonts w:ascii="Times New Roman" w:hAnsi="Times New Roman"/>
          <w:sz w:val="28"/>
          <w:szCs w:val="28"/>
        </w:rPr>
      </w:pPr>
      <w:r w:rsidRPr="00037F5C">
        <w:rPr>
          <w:rFonts w:ascii="Times New Roman" w:hAnsi="Times New Roman"/>
          <w:sz w:val="28"/>
          <w:szCs w:val="28"/>
        </w:rPr>
        <w:t xml:space="preserve">Общие правила составления Пояснительной записки (ф.ф. 0503760, 0503160) </w:t>
      </w:r>
    </w:p>
    <w:p w:rsidR="00037F5C" w:rsidRPr="00037F5C" w:rsidRDefault="00037F5C" w:rsidP="00037F5C">
      <w:pPr>
        <w:rPr>
          <w:sz w:val="28"/>
          <w:szCs w:val="28"/>
        </w:rPr>
      </w:pPr>
    </w:p>
    <w:p w:rsidR="004A6AD6" w:rsidRPr="00037F5C" w:rsidRDefault="004A6AD6" w:rsidP="004A6AD6">
      <w:pPr>
        <w:rPr>
          <w:sz w:val="28"/>
          <w:szCs w:val="28"/>
        </w:rPr>
      </w:pPr>
    </w:p>
    <w:sectPr w:rsidR="004A6AD6" w:rsidRPr="00037F5C" w:rsidSect="00074A9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0B"/>
      </v:shape>
    </w:pict>
  </w:numPicBullet>
  <w:abstractNum w:abstractNumId="0">
    <w:nsid w:val="01961878"/>
    <w:multiLevelType w:val="hybridMultilevel"/>
    <w:tmpl w:val="B76054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08A4"/>
    <w:multiLevelType w:val="multilevel"/>
    <w:tmpl w:val="A8624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D87A8F"/>
    <w:multiLevelType w:val="multilevel"/>
    <w:tmpl w:val="79A0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F418FF"/>
    <w:multiLevelType w:val="hybridMultilevel"/>
    <w:tmpl w:val="43E2A1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D6511"/>
    <w:multiLevelType w:val="hybridMultilevel"/>
    <w:tmpl w:val="2494A1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70F50"/>
    <w:multiLevelType w:val="hybridMultilevel"/>
    <w:tmpl w:val="4918A6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F1D75"/>
    <w:multiLevelType w:val="hybridMultilevel"/>
    <w:tmpl w:val="881890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4196"/>
    <w:multiLevelType w:val="hybridMultilevel"/>
    <w:tmpl w:val="C0C4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262BE"/>
    <w:multiLevelType w:val="multilevel"/>
    <w:tmpl w:val="9BD60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52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BA24E08"/>
    <w:multiLevelType w:val="hybridMultilevel"/>
    <w:tmpl w:val="80688CB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7F5792"/>
    <w:multiLevelType w:val="hybridMultilevel"/>
    <w:tmpl w:val="2DB2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75ED6"/>
    <w:multiLevelType w:val="hybridMultilevel"/>
    <w:tmpl w:val="FFB092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B5A1F"/>
    <w:multiLevelType w:val="multilevel"/>
    <w:tmpl w:val="300CBC9A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6868DB"/>
    <w:multiLevelType w:val="hybridMultilevel"/>
    <w:tmpl w:val="CF2C493C"/>
    <w:lvl w:ilvl="0" w:tplc="04190019">
      <w:start w:val="1"/>
      <w:numFmt w:val="lowerLetter"/>
      <w:lvlText w:val="%1."/>
      <w:lvlJc w:val="left"/>
      <w:pPr>
        <w:ind w:left="15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4">
    <w:nsid w:val="24A7512A"/>
    <w:multiLevelType w:val="hybridMultilevel"/>
    <w:tmpl w:val="E342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B631D"/>
    <w:multiLevelType w:val="multilevel"/>
    <w:tmpl w:val="E244F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B416CA"/>
    <w:multiLevelType w:val="multilevel"/>
    <w:tmpl w:val="BD46A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PicBulletId w:val="0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0B12340"/>
    <w:multiLevelType w:val="hybridMultilevel"/>
    <w:tmpl w:val="0520E34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24D7FE5"/>
    <w:multiLevelType w:val="hybridMultilevel"/>
    <w:tmpl w:val="AB7418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D2B84"/>
    <w:multiLevelType w:val="hybridMultilevel"/>
    <w:tmpl w:val="2F40F8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924DD"/>
    <w:multiLevelType w:val="hybridMultilevel"/>
    <w:tmpl w:val="BBA4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B2E96"/>
    <w:multiLevelType w:val="hybridMultilevel"/>
    <w:tmpl w:val="03F6514A"/>
    <w:lvl w:ilvl="0" w:tplc="04190001">
      <w:start w:val="1"/>
      <w:numFmt w:val="bullet"/>
      <w:lvlText w:val=""/>
      <w:lvlJc w:val="left"/>
      <w:pPr>
        <w:ind w:left="8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77" w:hanging="360"/>
      </w:pPr>
      <w:rPr>
        <w:rFonts w:ascii="Wingdings" w:hAnsi="Wingdings" w:hint="default"/>
      </w:rPr>
    </w:lvl>
  </w:abstractNum>
  <w:abstractNum w:abstractNumId="22">
    <w:nsid w:val="42F32854"/>
    <w:multiLevelType w:val="hybridMultilevel"/>
    <w:tmpl w:val="AD5E5F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C75E8"/>
    <w:multiLevelType w:val="hybridMultilevel"/>
    <w:tmpl w:val="36F26F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66109"/>
    <w:multiLevelType w:val="hybridMultilevel"/>
    <w:tmpl w:val="C2328E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10FE"/>
    <w:multiLevelType w:val="hybridMultilevel"/>
    <w:tmpl w:val="065C54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1344F"/>
    <w:multiLevelType w:val="multilevel"/>
    <w:tmpl w:val="040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7">
    <w:nsid w:val="49F869C6"/>
    <w:multiLevelType w:val="hybridMultilevel"/>
    <w:tmpl w:val="309072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B569F"/>
    <w:multiLevelType w:val="hybridMultilevel"/>
    <w:tmpl w:val="D2D6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94A6F"/>
    <w:multiLevelType w:val="hybridMultilevel"/>
    <w:tmpl w:val="A710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E0EDF"/>
    <w:multiLevelType w:val="hybridMultilevel"/>
    <w:tmpl w:val="7F1A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55578"/>
    <w:multiLevelType w:val="hybridMultilevel"/>
    <w:tmpl w:val="58B4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36E5D"/>
    <w:multiLevelType w:val="hybridMultilevel"/>
    <w:tmpl w:val="5C6ACC2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54E67"/>
    <w:multiLevelType w:val="hybridMultilevel"/>
    <w:tmpl w:val="F3EC695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D431D"/>
    <w:multiLevelType w:val="hybridMultilevel"/>
    <w:tmpl w:val="E07A2E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B7A4379"/>
    <w:multiLevelType w:val="hybridMultilevel"/>
    <w:tmpl w:val="7DCC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506C2C"/>
    <w:multiLevelType w:val="hybridMultilevel"/>
    <w:tmpl w:val="2164757A"/>
    <w:lvl w:ilvl="0" w:tplc="04190019">
      <w:start w:val="1"/>
      <w:numFmt w:val="lowerLetter"/>
      <w:lvlText w:val="%1."/>
      <w:lvlJc w:val="left"/>
      <w:pPr>
        <w:ind w:left="15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6"/>
  </w:num>
  <w:num w:numId="7">
    <w:abstractNumId w:val="27"/>
  </w:num>
  <w:num w:numId="8">
    <w:abstractNumId w:val="36"/>
  </w:num>
  <w:num w:numId="9">
    <w:abstractNumId w:val="33"/>
  </w:num>
  <w:num w:numId="10">
    <w:abstractNumId w:val="32"/>
  </w:num>
  <w:num w:numId="11">
    <w:abstractNumId w:val="24"/>
  </w:num>
  <w:num w:numId="12">
    <w:abstractNumId w:val="18"/>
  </w:num>
  <w:num w:numId="13">
    <w:abstractNumId w:val="23"/>
  </w:num>
  <w:num w:numId="14">
    <w:abstractNumId w:val="22"/>
  </w:num>
  <w:num w:numId="15">
    <w:abstractNumId w:val="11"/>
  </w:num>
  <w:num w:numId="16">
    <w:abstractNumId w:val="19"/>
  </w:num>
  <w:num w:numId="17">
    <w:abstractNumId w:val="4"/>
  </w:num>
  <w:num w:numId="18">
    <w:abstractNumId w:val="0"/>
  </w:num>
  <w:num w:numId="19">
    <w:abstractNumId w:val="5"/>
  </w:num>
  <w:num w:numId="20">
    <w:abstractNumId w:val="3"/>
  </w:num>
  <w:num w:numId="21">
    <w:abstractNumId w:val="9"/>
  </w:num>
  <w:num w:numId="22">
    <w:abstractNumId w:val="2"/>
  </w:num>
  <w:num w:numId="23">
    <w:abstractNumId w:val="15"/>
  </w:num>
  <w:num w:numId="24">
    <w:abstractNumId w:val="16"/>
  </w:num>
  <w:num w:numId="25">
    <w:abstractNumId w:val="34"/>
  </w:num>
  <w:num w:numId="26">
    <w:abstractNumId w:val="8"/>
  </w:num>
  <w:num w:numId="27">
    <w:abstractNumId w:val="17"/>
  </w:num>
  <w:num w:numId="2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"/>
  </w:num>
  <w:num w:numId="31">
    <w:abstractNumId w:val="26"/>
  </w:num>
  <w:num w:numId="32">
    <w:abstractNumId w:val="10"/>
  </w:num>
  <w:num w:numId="33">
    <w:abstractNumId w:val="7"/>
  </w:num>
  <w:num w:numId="34">
    <w:abstractNumId w:val="35"/>
  </w:num>
  <w:num w:numId="35">
    <w:abstractNumId w:val="14"/>
  </w:num>
  <w:num w:numId="36">
    <w:abstractNumId w:val="30"/>
  </w:num>
  <w:num w:numId="37">
    <w:abstractNumId w:val="31"/>
  </w:num>
  <w:num w:numId="38">
    <w:abstractNumId w:val="29"/>
  </w:num>
  <w:num w:numId="39">
    <w:abstractNumId w:val="2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2EA7"/>
    <w:rsid w:val="00026951"/>
    <w:rsid w:val="00037F5C"/>
    <w:rsid w:val="00074A96"/>
    <w:rsid w:val="000F6E76"/>
    <w:rsid w:val="001977A2"/>
    <w:rsid w:val="00301B16"/>
    <w:rsid w:val="003A0EA6"/>
    <w:rsid w:val="003A0EF2"/>
    <w:rsid w:val="004447BF"/>
    <w:rsid w:val="004A6AD6"/>
    <w:rsid w:val="004D1F67"/>
    <w:rsid w:val="004F0706"/>
    <w:rsid w:val="00617AE6"/>
    <w:rsid w:val="0067179F"/>
    <w:rsid w:val="006B433B"/>
    <w:rsid w:val="00792EA7"/>
    <w:rsid w:val="007F174C"/>
    <w:rsid w:val="00801564"/>
    <w:rsid w:val="00813032"/>
    <w:rsid w:val="00814560"/>
    <w:rsid w:val="0083280E"/>
    <w:rsid w:val="008D0B8F"/>
    <w:rsid w:val="009054BA"/>
    <w:rsid w:val="00956B5E"/>
    <w:rsid w:val="00975BFC"/>
    <w:rsid w:val="00984DC0"/>
    <w:rsid w:val="00B47BF1"/>
    <w:rsid w:val="00C16FC2"/>
    <w:rsid w:val="00D2032E"/>
    <w:rsid w:val="00E85FC6"/>
    <w:rsid w:val="00EA56D3"/>
    <w:rsid w:val="00F3084F"/>
    <w:rsid w:val="00F9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2E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1564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E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792EA7"/>
    <w:pPr>
      <w:ind w:left="720"/>
      <w:contextualSpacing/>
    </w:pPr>
    <w:rPr>
      <w:sz w:val="20"/>
      <w:szCs w:val="20"/>
    </w:rPr>
  </w:style>
  <w:style w:type="paragraph" w:customStyle="1" w:styleId="a5">
    <w:basedOn w:val="a"/>
    <w:next w:val="a6"/>
    <w:uiPriority w:val="99"/>
    <w:unhideWhenUsed/>
    <w:rsid w:val="00301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01B16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01B1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1564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7">
    <w:name w:val="Strong"/>
    <w:uiPriority w:val="22"/>
    <w:qFormat/>
    <w:rsid w:val="00801564"/>
    <w:rPr>
      <w:b/>
      <w:bCs/>
    </w:rPr>
  </w:style>
  <w:style w:type="character" w:customStyle="1" w:styleId="matches">
    <w:name w:val="matches"/>
    <w:basedOn w:val="a0"/>
    <w:rsid w:val="00801564"/>
  </w:style>
  <w:style w:type="character" w:styleId="a8">
    <w:name w:val="Hyperlink"/>
    <w:uiPriority w:val="99"/>
    <w:unhideWhenUsed/>
    <w:rsid w:val="00801564"/>
    <w:rPr>
      <w:color w:val="0000FF"/>
      <w:u w:val="single"/>
    </w:rPr>
  </w:style>
  <w:style w:type="paragraph" w:customStyle="1" w:styleId="copyright-info">
    <w:name w:val="copyright-info"/>
    <w:basedOn w:val="a"/>
    <w:rsid w:val="00801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еразрешенное упоминание"/>
    <w:uiPriority w:val="99"/>
    <w:semiHidden/>
    <w:unhideWhenUsed/>
    <w:rsid w:val="0080156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0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1564"/>
    <w:rPr>
      <w:rFonts w:ascii="Segoe UI" w:eastAsia="Calibri" w:hAnsi="Segoe UI" w:cs="Segoe UI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3A0EF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A0E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Links>
    <vt:vector size="18" baseType="variant">
      <vt:variant>
        <vt:i4>3539053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http://publication.pravo.gov.ru/Document/View/0001202105060006</vt:lpwstr>
      </vt:variant>
      <vt:variant>
        <vt:lpwstr/>
      </vt:variant>
      <vt:variant>
        <vt:i4>852093</vt:i4>
      </vt:variant>
      <vt:variant>
        <vt:i4>3</vt:i4>
      </vt:variant>
      <vt:variant>
        <vt:i4>0</vt:i4>
      </vt:variant>
      <vt:variant>
        <vt:i4>5</vt:i4>
      </vt:variant>
      <vt:variant>
        <vt:lpwstr>https://bftcom.com/newspictures/5_%D0%A4%D0%B5%D0%B4 %D0%B7%D0%B0%D0%BA%D0%BE%D0%BD %E2%84%96 247-%D0%A4%D0%97_%D0%98%D0%B7%D0%BC %D0%B2 %D0%91%D0%9A %D0%A0%D0%A4_%D0%BE%D1%81%D0%BE%D0%B1%D0%B5%D0%BD %D0%B8%D1%81%D0%BF 2021.pdf</vt:lpwstr>
      </vt:variant>
      <vt:variant>
        <vt:lpwstr/>
      </vt:variant>
      <vt:variant>
        <vt:i4>2883584</vt:i4>
      </vt:variant>
      <vt:variant>
        <vt:i4>0</vt:i4>
      </vt:variant>
      <vt:variant>
        <vt:i4>0</vt:i4>
      </vt:variant>
      <vt:variant>
        <vt:i4>5</vt:i4>
      </vt:variant>
      <vt:variant>
        <vt:lpwstr>https://bftcom.com/newspictures/4_%D0%A4%D0%B5%D0%B4 %D0%B7%D0%B0%D0%BA%D0%BE%D0%BD %E2%84%96 246-%D0%A4%D0%97_%D0%98%D0%B7%D0%BC %D0%B2 %D0%91%D0%9A %D0%A0%D0%A4_%D0%9C%D0%91%D0%A2.pdf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dcterms:created xsi:type="dcterms:W3CDTF">2022-11-24T08:57:00Z</dcterms:created>
  <dcterms:modified xsi:type="dcterms:W3CDTF">2022-11-24T09:00:00Z</dcterms:modified>
</cp:coreProperties>
</file>